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C1" w:rsidRDefault="00F0210D" w:rsidP="00F0210D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F0210D">
        <w:rPr>
          <w:b/>
          <w:sz w:val="24"/>
          <w:szCs w:val="24"/>
        </w:rPr>
        <w:t>OŠ ANTE STARČEVIĆA VILJEVO</w:t>
      </w:r>
    </w:p>
    <w:p w:rsidR="00F0210D" w:rsidRDefault="00F0210D" w:rsidP="00F0210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31 531 VILJEVO, Kralja Tomislava 1</w:t>
      </w:r>
    </w:p>
    <w:p w:rsidR="00F0210D" w:rsidRDefault="00F0210D" w:rsidP="00F0210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Telefon: 031/644-444, 644-655</w:t>
      </w:r>
    </w:p>
    <w:p w:rsidR="00F0210D" w:rsidRDefault="00F0210D" w:rsidP="00F0210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Fax: 031/644-640</w:t>
      </w:r>
    </w:p>
    <w:p w:rsidR="00F0210D" w:rsidRDefault="00F0210D" w:rsidP="00F0210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OIB: 80641417214</w:t>
      </w:r>
    </w:p>
    <w:p w:rsidR="00F0210D" w:rsidRDefault="00F0210D" w:rsidP="00F0210D">
      <w:pPr>
        <w:spacing w:line="240" w:lineRule="auto"/>
        <w:rPr>
          <w:b/>
          <w:sz w:val="24"/>
          <w:szCs w:val="24"/>
        </w:rPr>
      </w:pPr>
    </w:p>
    <w:p w:rsidR="00F0210D" w:rsidRDefault="00F0210D" w:rsidP="00F0210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OBRAZLOŽENJE FINANCIJSKOG PLANA</w:t>
      </w:r>
    </w:p>
    <w:p w:rsidR="00F0210D" w:rsidRDefault="00F0210D" w:rsidP="00F0210D">
      <w:pPr>
        <w:pStyle w:val="Odlomakpopis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Sažetak djelokruga rada proračunskog korisnika</w:t>
      </w:r>
    </w:p>
    <w:p w:rsidR="00F0210D" w:rsidRDefault="00F0210D" w:rsidP="00F0210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Osnovna škola Ante Starčevića Viljevo je škola koja pruža osnovnoškolsko obrazovanje učenicima od 1. </w:t>
      </w:r>
      <w:r w:rsidR="00D50A99">
        <w:rPr>
          <w:sz w:val="24"/>
          <w:szCs w:val="24"/>
        </w:rPr>
        <w:t>d</w:t>
      </w:r>
      <w:r>
        <w:rPr>
          <w:sz w:val="24"/>
          <w:szCs w:val="24"/>
        </w:rPr>
        <w:t xml:space="preserve">o 8. </w:t>
      </w:r>
      <w:r w:rsidR="00D50A99">
        <w:rPr>
          <w:sz w:val="24"/>
          <w:szCs w:val="24"/>
        </w:rPr>
        <w:t>r</w:t>
      </w:r>
      <w:r>
        <w:rPr>
          <w:sz w:val="24"/>
          <w:szCs w:val="24"/>
        </w:rPr>
        <w:t xml:space="preserve">azreda u Matičnoj školi u Viljevu i od 1. </w:t>
      </w:r>
      <w:r w:rsidR="00D50A99">
        <w:rPr>
          <w:sz w:val="24"/>
          <w:szCs w:val="24"/>
        </w:rPr>
        <w:t>d</w:t>
      </w:r>
      <w:r>
        <w:rPr>
          <w:sz w:val="24"/>
          <w:szCs w:val="24"/>
        </w:rPr>
        <w:t xml:space="preserve">o 4. </w:t>
      </w:r>
      <w:r w:rsidR="00D50A99">
        <w:rPr>
          <w:sz w:val="24"/>
          <w:szCs w:val="24"/>
        </w:rPr>
        <w:t>r</w:t>
      </w:r>
      <w:r>
        <w:rPr>
          <w:sz w:val="24"/>
          <w:szCs w:val="24"/>
        </w:rPr>
        <w:t>azreda u Područnim školama u Ivanovu, Kapelni, Podravskoj Moslavini i Krčeniku, dakle radi na pet lokacija.</w:t>
      </w:r>
      <w:r w:rsidR="00D50A99">
        <w:rPr>
          <w:sz w:val="24"/>
          <w:szCs w:val="24"/>
        </w:rPr>
        <w:t xml:space="preserve"> Nastava je organizirana u dvije promjenljive smjene „A“ i „B“,</w:t>
      </w:r>
      <w:r w:rsidR="006C3517">
        <w:rPr>
          <w:sz w:val="24"/>
          <w:szCs w:val="24"/>
        </w:rPr>
        <w:t xml:space="preserve"> u MŠ u Viljevu, PŠ Krčenik i PŠ Kapelna, dok je u PŠ P.Moslavina i PŠ Ivanovo nastava u jednoj smjeni – jutarnjoj,</w:t>
      </w:r>
      <w:r w:rsidR="00D50A99">
        <w:rPr>
          <w:sz w:val="24"/>
          <w:szCs w:val="24"/>
        </w:rPr>
        <w:t xml:space="preserve"> u petod</w:t>
      </w:r>
      <w:r w:rsidR="00DB0F02">
        <w:rPr>
          <w:sz w:val="24"/>
          <w:szCs w:val="24"/>
        </w:rPr>
        <w:t>n</w:t>
      </w:r>
      <w:r w:rsidR="00D50A99">
        <w:rPr>
          <w:sz w:val="24"/>
          <w:szCs w:val="24"/>
        </w:rPr>
        <w:t>e</w:t>
      </w:r>
      <w:r w:rsidR="00DB0F02">
        <w:rPr>
          <w:sz w:val="24"/>
          <w:szCs w:val="24"/>
        </w:rPr>
        <w:t>v</w:t>
      </w:r>
      <w:r w:rsidR="00D50A99">
        <w:rPr>
          <w:sz w:val="24"/>
          <w:szCs w:val="24"/>
        </w:rPr>
        <w:t>om radnom tjednu sa slobodnim subotama</w:t>
      </w:r>
      <w:r w:rsidR="00B31165">
        <w:rPr>
          <w:sz w:val="24"/>
          <w:szCs w:val="24"/>
        </w:rPr>
        <w:t>.</w:t>
      </w:r>
      <w:r w:rsidR="00D50A99">
        <w:rPr>
          <w:sz w:val="24"/>
          <w:szCs w:val="24"/>
        </w:rPr>
        <w:t xml:space="preserve"> Međusmjenu koristimo za održavanje izborne i dopunske nastave, izvannastavnih aktivnosti, održavanje sjednica stručnih, razrednih i učiteljskih vijeća.</w:t>
      </w:r>
    </w:p>
    <w:p w:rsidR="00D50A99" w:rsidRDefault="006C3517" w:rsidP="00F0210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D50A99">
        <w:rPr>
          <w:sz w:val="24"/>
          <w:szCs w:val="24"/>
        </w:rPr>
        <w:t>edovna, izborna, dodatna i dopunska</w:t>
      </w:r>
      <w:r w:rsidR="00CD1E1A">
        <w:rPr>
          <w:sz w:val="24"/>
          <w:szCs w:val="24"/>
        </w:rPr>
        <w:t xml:space="preserve"> nastava se</w:t>
      </w:r>
      <w:r w:rsidR="00D50A99">
        <w:rPr>
          <w:sz w:val="24"/>
          <w:szCs w:val="24"/>
        </w:rPr>
        <w:t xml:space="preserve"> izvodi prema nastavnim planovima i programima koje je donijelo Ministarstvo znanosti, obrazovanja i sporta, prema Godišnjem planu i programu i </w:t>
      </w:r>
      <w:r w:rsidR="00CD1E1A">
        <w:rPr>
          <w:sz w:val="24"/>
          <w:szCs w:val="24"/>
        </w:rPr>
        <w:t>Š</w:t>
      </w:r>
      <w:r w:rsidR="00D50A99">
        <w:rPr>
          <w:sz w:val="24"/>
          <w:szCs w:val="24"/>
        </w:rPr>
        <w:t>kolskom kurikulumu za školsku godinu 201</w:t>
      </w:r>
      <w:r w:rsidR="00BD0E43">
        <w:rPr>
          <w:sz w:val="24"/>
          <w:szCs w:val="24"/>
        </w:rPr>
        <w:t>5</w:t>
      </w:r>
      <w:r w:rsidR="00D50A99">
        <w:rPr>
          <w:sz w:val="24"/>
          <w:szCs w:val="24"/>
        </w:rPr>
        <w:t>./201</w:t>
      </w:r>
      <w:r w:rsidR="00BD0E43">
        <w:rPr>
          <w:sz w:val="24"/>
          <w:szCs w:val="24"/>
        </w:rPr>
        <w:t>6</w:t>
      </w:r>
      <w:r w:rsidR="00D50A99">
        <w:rPr>
          <w:sz w:val="24"/>
          <w:szCs w:val="24"/>
        </w:rPr>
        <w:t>.</w:t>
      </w:r>
    </w:p>
    <w:p w:rsidR="00D50A99" w:rsidRDefault="00D50A99" w:rsidP="00F0210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Školu polazi 2</w:t>
      </w:r>
      <w:r w:rsidR="00455958">
        <w:rPr>
          <w:sz w:val="24"/>
          <w:szCs w:val="24"/>
        </w:rPr>
        <w:t>16</w:t>
      </w:r>
      <w:r>
        <w:rPr>
          <w:sz w:val="24"/>
          <w:szCs w:val="24"/>
        </w:rPr>
        <w:t xml:space="preserve"> učenika u 2</w:t>
      </w:r>
      <w:r w:rsidR="00455958">
        <w:rPr>
          <w:sz w:val="24"/>
          <w:szCs w:val="24"/>
        </w:rPr>
        <w:t>1</w:t>
      </w:r>
      <w:r>
        <w:rPr>
          <w:sz w:val="24"/>
          <w:szCs w:val="24"/>
        </w:rPr>
        <w:t xml:space="preserve"> razredn</w:t>
      </w:r>
      <w:r w:rsidR="00455958">
        <w:rPr>
          <w:sz w:val="24"/>
          <w:szCs w:val="24"/>
        </w:rPr>
        <w:t>om</w:t>
      </w:r>
      <w:r>
        <w:rPr>
          <w:sz w:val="24"/>
          <w:szCs w:val="24"/>
        </w:rPr>
        <w:t xml:space="preserve"> odjeljenj</w:t>
      </w:r>
      <w:r w:rsidR="00455958">
        <w:rPr>
          <w:sz w:val="24"/>
          <w:szCs w:val="24"/>
        </w:rPr>
        <w:t>u</w:t>
      </w:r>
      <w:r>
        <w:rPr>
          <w:sz w:val="24"/>
          <w:szCs w:val="24"/>
        </w:rPr>
        <w:t>. Planiramo da se broj učenika i razrednih odjeljenja neće bitnije mijenjati narednih godina, a to će ovisiti o broju upisanih učenika u 1. razred.</w:t>
      </w:r>
    </w:p>
    <w:p w:rsidR="00CD1E1A" w:rsidRDefault="00CD1E1A" w:rsidP="00F0210D">
      <w:pPr>
        <w:spacing w:line="240" w:lineRule="auto"/>
        <w:jc w:val="both"/>
        <w:rPr>
          <w:sz w:val="24"/>
          <w:szCs w:val="24"/>
        </w:rPr>
      </w:pPr>
    </w:p>
    <w:p w:rsidR="00D50A99" w:rsidRDefault="00D50A99" w:rsidP="00D50A99">
      <w:pPr>
        <w:pStyle w:val="Odlomakpopis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Obrazloženje programa rada školske ustanove</w:t>
      </w:r>
    </w:p>
    <w:p w:rsidR="00D50A99" w:rsidRDefault="00D50A99" w:rsidP="00D50A9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Prioritet Škole je kvalitetno obrazovanje i </w:t>
      </w:r>
      <w:r w:rsidR="00455958">
        <w:rPr>
          <w:sz w:val="24"/>
          <w:szCs w:val="24"/>
        </w:rPr>
        <w:t>o</w:t>
      </w:r>
      <w:r>
        <w:rPr>
          <w:sz w:val="24"/>
          <w:szCs w:val="24"/>
        </w:rPr>
        <w:t>dgoj učenika što ostvarujemo:</w:t>
      </w:r>
    </w:p>
    <w:p w:rsidR="00455958" w:rsidRPr="00455958" w:rsidRDefault="00455958" w:rsidP="00455958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pomnim planiranjem i realizacijom školskog kurikuluma koji se temelji na analizi rada škole protekle školske godine (kreda analiza),</w:t>
      </w:r>
    </w:p>
    <w:p w:rsidR="00D50A99" w:rsidRDefault="00970EDA" w:rsidP="00D50A99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50A99">
        <w:rPr>
          <w:sz w:val="24"/>
          <w:szCs w:val="24"/>
        </w:rPr>
        <w:t xml:space="preserve">talnim usavršavanjem nastavnika (seminari, stručni skupovi, sktivi) i podizadnjem nastavnog </w:t>
      </w:r>
      <w:r>
        <w:rPr>
          <w:sz w:val="24"/>
          <w:szCs w:val="24"/>
        </w:rPr>
        <w:t>standarda na višu razinu,</w:t>
      </w:r>
    </w:p>
    <w:p w:rsidR="00970EDA" w:rsidRDefault="00970EDA" w:rsidP="00D50A99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poticanjem učenika na izražavanje kreativnosti, talenata i sposobnosti kroz uključivanje u slobodne aktivnosti, natjecanja te druge školske projekte, priredbe i manifestacije,</w:t>
      </w:r>
    </w:p>
    <w:p w:rsidR="00970EDA" w:rsidRDefault="00970EDA" w:rsidP="00D50A99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organiziranjem zajedničkih aktivnosti i učenika i učitelja tijekom izvannastavnih aktivnosti i druženja kroz kolektivno upoznavanje,</w:t>
      </w:r>
    </w:p>
    <w:p w:rsidR="00970EDA" w:rsidRDefault="00970EDA" w:rsidP="00D50A99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poticanjem razvoja pozitivnih vrijednosti </w:t>
      </w:r>
      <w:r w:rsidR="00CD1E1A">
        <w:rPr>
          <w:sz w:val="24"/>
          <w:szCs w:val="24"/>
        </w:rPr>
        <w:t>pojedinca i timova kroz realizaciju školskog razvojnog plana</w:t>
      </w:r>
      <w:r w:rsidR="00CC4957">
        <w:rPr>
          <w:sz w:val="24"/>
          <w:szCs w:val="24"/>
        </w:rPr>
        <w:t>.</w:t>
      </w:r>
    </w:p>
    <w:p w:rsidR="00CD1E1A" w:rsidRPr="0008318E" w:rsidRDefault="00CD1E1A" w:rsidP="0008318E">
      <w:pPr>
        <w:spacing w:line="240" w:lineRule="auto"/>
        <w:jc w:val="both"/>
        <w:rPr>
          <w:sz w:val="24"/>
          <w:szCs w:val="24"/>
        </w:rPr>
      </w:pPr>
    </w:p>
    <w:p w:rsidR="00CC4957" w:rsidRDefault="00CC4957" w:rsidP="00CC4957">
      <w:pPr>
        <w:pStyle w:val="Odlomakpopis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Zakonske i druge podloge na kojima se zasniva program rada škole</w:t>
      </w:r>
    </w:p>
    <w:p w:rsidR="00CC4957" w:rsidRDefault="00CC4957" w:rsidP="00CC4957">
      <w:pPr>
        <w:pStyle w:val="Odlomakpopisa"/>
        <w:spacing w:line="240" w:lineRule="auto"/>
        <w:jc w:val="both"/>
        <w:rPr>
          <w:b/>
          <w:sz w:val="24"/>
          <w:szCs w:val="24"/>
        </w:rPr>
      </w:pPr>
    </w:p>
    <w:p w:rsidR="00CC4957" w:rsidRDefault="00CC4957" w:rsidP="00CC4957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Zakon o odgoju i obrazovanju u osnovnoj i srednoj školi (NN br. 87/08., 86/09., 92/10.,</w:t>
      </w:r>
      <w:r w:rsidR="002E7EAC">
        <w:rPr>
          <w:sz w:val="24"/>
          <w:szCs w:val="24"/>
        </w:rPr>
        <w:t xml:space="preserve"> 105/10.</w:t>
      </w:r>
      <w:r w:rsidR="00937780">
        <w:rPr>
          <w:sz w:val="24"/>
          <w:szCs w:val="24"/>
        </w:rPr>
        <w:t>-ispravak</w:t>
      </w:r>
      <w:r w:rsidR="002E7EAC">
        <w:rPr>
          <w:sz w:val="24"/>
          <w:szCs w:val="24"/>
        </w:rPr>
        <w:t>,</w:t>
      </w:r>
      <w:r>
        <w:rPr>
          <w:sz w:val="24"/>
          <w:szCs w:val="24"/>
        </w:rPr>
        <w:t xml:space="preserve"> 90/11.</w:t>
      </w:r>
      <w:r w:rsidR="002E7EAC">
        <w:rPr>
          <w:sz w:val="24"/>
          <w:szCs w:val="24"/>
        </w:rPr>
        <w:t>, 5/12., 16/12., 86/12., 126/12. I 94/13.</w:t>
      </w:r>
      <w:r>
        <w:rPr>
          <w:sz w:val="24"/>
          <w:szCs w:val="24"/>
        </w:rPr>
        <w:t>)</w:t>
      </w:r>
    </w:p>
    <w:p w:rsidR="00CC4957" w:rsidRDefault="00CC4957" w:rsidP="00CC4957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Zakon o ustanovama (NN br. 76/93., 29/97., 47/99., 35/08.)</w:t>
      </w:r>
    </w:p>
    <w:p w:rsidR="00CC4957" w:rsidRDefault="00CC4957" w:rsidP="00CC4957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Zakon o proračunu (NN br. 87/08.</w:t>
      </w:r>
      <w:r w:rsidR="00937780">
        <w:rPr>
          <w:sz w:val="24"/>
          <w:szCs w:val="24"/>
        </w:rPr>
        <w:t>, 136/12.</w:t>
      </w:r>
      <w:r>
        <w:rPr>
          <w:sz w:val="24"/>
          <w:szCs w:val="24"/>
        </w:rPr>
        <w:t>), Pravilnik o proračunskim klasifikacijama (NN br. 26/10.</w:t>
      </w:r>
      <w:r w:rsidR="002103DB">
        <w:rPr>
          <w:sz w:val="24"/>
          <w:szCs w:val="24"/>
        </w:rPr>
        <w:t>, 120/13.</w:t>
      </w:r>
      <w:r>
        <w:rPr>
          <w:sz w:val="24"/>
          <w:szCs w:val="24"/>
        </w:rPr>
        <w:t>) i Pravilnik o proračunskom računovodstvu i računskom planu (NN br. 144/10. I 31/11.)</w:t>
      </w:r>
      <w:r w:rsidR="002103DB">
        <w:rPr>
          <w:sz w:val="24"/>
          <w:szCs w:val="24"/>
        </w:rPr>
        <w:t xml:space="preserve"> za računovodstveno evidentiranje 2014. te izmjene za 2015. (NN 124/14. )</w:t>
      </w:r>
    </w:p>
    <w:p w:rsidR="00CC4957" w:rsidRDefault="00CC4957" w:rsidP="00CC4957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Upute za izradu proračuna lokalne (regionalne) samouprave za razdoblje 201</w:t>
      </w:r>
      <w:r w:rsidR="00BD0E43">
        <w:rPr>
          <w:sz w:val="24"/>
          <w:szCs w:val="24"/>
        </w:rPr>
        <w:t>6</w:t>
      </w:r>
      <w:r>
        <w:rPr>
          <w:sz w:val="24"/>
          <w:szCs w:val="24"/>
        </w:rPr>
        <w:t>.-201</w:t>
      </w:r>
      <w:r w:rsidR="00BD0E43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CD1E1A">
        <w:rPr>
          <w:sz w:val="24"/>
          <w:szCs w:val="24"/>
        </w:rPr>
        <w:t xml:space="preserve"> </w:t>
      </w:r>
      <w:r w:rsidR="00873E28">
        <w:rPr>
          <w:sz w:val="24"/>
          <w:szCs w:val="24"/>
        </w:rPr>
        <w:t xml:space="preserve">od </w:t>
      </w:r>
      <w:r w:rsidR="00BD0E43">
        <w:rPr>
          <w:sz w:val="24"/>
          <w:szCs w:val="24"/>
        </w:rPr>
        <w:t>14</w:t>
      </w:r>
      <w:r w:rsidR="00CD1E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D0E43">
        <w:rPr>
          <w:sz w:val="24"/>
          <w:szCs w:val="24"/>
        </w:rPr>
        <w:t>kolovoza</w:t>
      </w:r>
      <w:r>
        <w:rPr>
          <w:sz w:val="24"/>
          <w:szCs w:val="24"/>
        </w:rPr>
        <w:t xml:space="preserve"> 201</w:t>
      </w:r>
      <w:r w:rsidR="00BD0E4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CF4201">
        <w:rPr>
          <w:sz w:val="24"/>
          <w:szCs w:val="24"/>
        </w:rPr>
        <w:t>g</w:t>
      </w:r>
      <w:r>
        <w:rPr>
          <w:sz w:val="24"/>
          <w:szCs w:val="24"/>
        </w:rPr>
        <w:t xml:space="preserve">odine </w:t>
      </w:r>
      <w:r w:rsidR="00CF4201">
        <w:rPr>
          <w:sz w:val="24"/>
          <w:szCs w:val="24"/>
        </w:rPr>
        <w:t xml:space="preserve">(Klasa: </w:t>
      </w:r>
      <w:r w:rsidR="002103DB">
        <w:rPr>
          <w:sz w:val="24"/>
          <w:szCs w:val="24"/>
        </w:rPr>
        <w:t>602-02/14-01/1</w:t>
      </w:r>
      <w:r w:rsidR="00CF4201">
        <w:rPr>
          <w:sz w:val="24"/>
          <w:szCs w:val="24"/>
        </w:rPr>
        <w:t>, Urbroj: 2158/1-01-</w:t>
      </w:r>
      <w:r w:rsidR="002103DB">
        <w:rPr>
          <w:sz w:val="24"/>
          <w:szCs w:val="24"/>
        </w:rPr>
        <w:t>15-14-15</w:t>
      </w:r>
      <w:r w:rsidR="00CF4201">
        <w:rPr>
          <w:sz w:val="24"/>
          <w:szCs w:val="24"/>
        </w:rPr>
        <w:t>)</w:t>
      </w:r>
    </w:p>
    <w:p w:rsidR="00CF4201" w:rsidRDefault="00CF4201" w:rsidP="00CF4201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Godišnji plan i program rada škole za školsku godinu 201</w:t>
      </w:r>
      <w:r w:rsidR="00BD0E4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CF4201">
        <w:rPr>
          <w:sz w:val="24"/>
          <w:szCs w:val="24"/>
        </w:rPr>
        <w:t>/201</w:t>
      </w:r>
      <w:r w:rsidR="00BD0E43">
        <w:rPr>
          <w:sz w:val="24"/>
          <w:szCs w:val="24"/>
        </w:rPr>
        <w:t>6</w:t>
      </w:r>
      <w:r w:rsidRPr="00CF4201">
        <w:rPr>
          <w:sz w:val="24"/>
          <w:szCs w:val="24"/>
        </w:rPr>
        <w:t>.</w:t>
      </w:r>
    </w:p>
    <w:p w:rsidR="00CF4201" w:rsidRDefault="00CF4201" w:rsidP="00CF4201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Kurikulum škole za školsku godinu 201</w:t>
      </w:r>
      <w:r w:rsidR="00873E28">
        <w:rPr>
          <w:sz w:val="24"/>
          <w:szCs w:val="24"/>
        </w:rPr>
        <w:t>5</w:t>
      </w:r>
      <w:r>
        <w:rPr>
          <w:sz w:val="24"/>
          <w:szCs w:val="24"/>
        </w:rPr>
        <w:t>./201</w:t>
      </w:r>
      <w:r w:rsidR="00873E28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CF4201" w:rsidRDefault="00CF4201" w:rsidP="00CF4201">
      <w:pPr>
        <w:pStyle w:val="Odlomakpopisa"/>
        <w:spacing w:line="240" w:lineRule="auto"/>
        <w:jc w:val="both"/>
        <w:rPr>
          <w:sz w:val="24"/>
          <w:szCs w:val="24"/>
        </w:rPr>
      </w:pPr>
    </w:p>
    <w:p w:rsidR="00CD1E1A" w:rsidRPr="00CF4201" w:rsidRDefault="00CD1E1A" w:rsidP="00CF4201">
      <w:pPr>
        <w:pStyle w:val="Odlomakpopisa"/>
        <w:spacing w:line="240" w:lineRule="auto"/>
        <w:jc w:val="both"/>
        <w:rPr>
          <w:sz w:val="24"/>
          <w:szCs w:val="24"/>
        </w:rPr>
      </w:pPr>
    </w:p>
    <w:p w:rsidR="00CF4201" w:rsidRDefault="00CF4201" w:rsidP="00CF4201">
      <w:pPr>
        <w:pStyle w:val="Odlomakpopis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Usklađenost ciljeva, strategije i programa s dokumentima dugoročnog razvoja</w:t>
      </w:r>
    </w:p>
    <w:p w:rsidR="002103DB" w:rsidRDefault="002103DB" w:rsidP="002103DB">
      <w:pPr>
        <w:pStyle w:val="Odlomakpopisa"/>
        <w:spacing w:line="240" w:lineRule="auto"/>
        <w:jc w:val="both"/>
        <w:rPr>
          <w:b/>
          <w:sz w:val="24"/>
          <w:szCs w:val="24"/>
        </w:rPr>
      </w:pPr>
    </w:p>
    <w:p w:rsidR="00CF4201" w:rsidRDefault="00CF4201" w:rsidP="00CF4201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Školske ustanove ne donose strateške, već godišnje planove i programe (GPP i </w:t>
      </w:r>
      <w:r w:rsidR="00CD1E1A">
        <w:rPr>
          <w:sz w:val="24"/>
          <w:szCs w:val="24"/>
        </w:rPr>
        <w:t>Š</w:t>
      </w:r>
      <w:r>
        <w:rPr>
          <w:sz w:val="24"/>
          <w:szCs w:val="24"/>
        </w:rPr>
        <w:t>kolski kurikulum) prema planu i programu koje je donijelo Ministarstvo znanosti, obrazovanja i sporta. Vertikala usklađivanja ciljeva i programa MZOS-a i jedinice lokalne (regionalne) samouprave – školske ustanove još nije provedena.</w:t>
      </w:r>
    </w:p>
    <w:p w:rsidR="00CD1E1A" w:rsidRDefault="00CD1E1A" w:rsidP="00CF4201">
      <w:pPr>
        <w:spacing w:line="240" w:lineRule="auto"/>
        <w:ind w:left="360"/>
        <w:jc w:val="both"/>
        <w:rPr>
          <w:sz w:val="24"/>
          <w:szCs w:val="24"/>
        </w:rPr>
      </w:pPr>
    </w:p>
    <w:p w:rsidR="00CF4201" w:rsidRDefault="00CF4201" w:rsidP="00CF4201">
      <w:pPr>
        <w:pStyle w:val="Odlomakpopis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Ishodišta i pokazatelji na kojima se zasnivaju izračuni i ocjene potrebnih sredstava za provođenje programa</w:t>
      </w:r>
    </w:p>
    <w:p w:rsidR="002103DB" w:rsidRDefault="002103DB" w:rsidP="002103DB">
      <w:pPr>
        <w:pStyle w:val="Odlomakpopisa"/>
        <w:spacing w:line="240" w:lineRule="auto"/>
        <w:jc w:val="both"/>
        <w:rPr>
          <w:b/>
          <w:sz w:val="24"/>
          <w:szCs w:val="24"/>
        </w:rPr>
      </w:pPr>
    </w:p>
    <w:p w:rsidR="001C7CD1" w:rsidRDefault="00CF4201" w:rsidP="00CF4201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Izvori sredstava</w:t>
      </w:r>
      <w:r w:rsidR="001C7CD1">
        <w:rPr>
          <w:sz w:val="24"/>
          <w:szCs w:val="24"/>
        </w:rPr>
        <w:t xml:space="preserve"> za financiranje OŠ Ante Starčevića Viljevo su:</w:t>
      </w:r>
    </w:p>
    <w:p w:rsidR="001C7CD1" w:rsidRDefault="001C7CD1" w:rsidP="001C7CD1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OPĆI PRIHODI I PRIMITCI, skupina 671, državni proračun (Ministarstvo znanosti, obrazovanja i sporta) za financiranje rashoda za zaposlene,</w:t>
      </w:r>
    </w:p>
    <w:p w:rsidR="00CF4201" w:rsidRDefault="00CF4201" w:rsidP="001C7CD1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C7CD1">
        <w:rPr>
          <w:sz w:val="24"/>
          <w:szCs w:val="24"/>
        </w:rPr>
        <w:t xml:space="preserve"> </w:t>
      </w:r>
      <w:r w:rsidR="001C7CD1">
        <w:rPr>
          <w:sz w:val="24"/>
          <w:szCs w:val="24"/>
        </w:rPr>
        <w:t>OPĆI PRIHODI I PRIMITCI, skupina 671, lokalni proračun (Osječko-baranjska županija) za materijalne i financijske troškove poslovanja te održavanje i obnovu nefinancijske imovine,</w:t>
      </w:r>
    </w:p>
    <w:p w:rsidR="001C7CD1" w:rsidRDefault="001C7CD1" w:rsidP="001C7CD1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-VLASTITI PRIHODI, skupina 642, od iznajmljivanja prostora, za provedbu dodatnih aktivnosti Škole prema Godišnjem planu i programu rada te obnovu nefinancijske imovine,</w:t>
      </w:r>
    </w:p>
    <w:p w:rsidR="001C7CD1" w:rsidRDefault="001C7CD1" w:rsidP="001C7CD1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OSTALI NESPOMENUTI PRIHODI, skupina 652, za sufinanciranje prehrane učenika te ostala sufinanciranja (izleti, ekskurzije, škola u prirodi, kazališne i kino predstave...),</w:t>
      </w:r>
    </w:p>
    <w:p w:rsidR="004C3776" w:rsidRDefault="004C3776" w:rsidP="004C3776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Indeksi rasta koje smo dužni primjeniti u planiranju rashoda koji se planiraju prema minimalnom standardu te rashoda za zaposlene (Upute za izradu proračuna 201</w:t>
      </w:r>
      <w:r w:rsidR="00C0778B">
        <w:rPr>
          <w:sz w:val="24"/>
          <w:szCs w:val="24"/>
        </w:rPr>
        <w:t>6</w:t>
      </w:r>
      <w:r>
        <w:rPr>
          <w:sz w:val="24"/>
          <w:szCs w:val="24"/>
        </w:rPr>
        <w:t>.-201</w:t>
      </w:r>
      <w:r w:rsidR="00C0778B">
        <w:rPr>
          <w:sz w:val="24"/>
          <w:szCs w:val="24"/>
        </w:rPr>
        <w:t>8</w:t>
      </w:r>
      <w:r>
        <w:rPr>
          <w:sz w:val="24"/>
          <w:szCs w:val="24"/>
        </w:rPr>
        <w:t>.) su slijedeći:</w:t>
      </w:r>
    </w:p>
    <w:p w:rsidR="00CD1E1A" w:rsidRDefault="00CD1E1A" w:rsidP="004C3776">
      <w:pPr>
        <w:spacing w:line="240" w:lineRule="auto"/>
        <w:ind w:left="360"/>
        <w:jc w:val="both"/>
        <w:rPr>
          <w:sz w:val="24"/>
          <w:szCs w:val="24"/>
        </w:rPr>
      </w:pPr>
    </w:p>
    <w:p w:rsidR="002103DB" w:rsidRDefault="002103DB" w:rsidP="002103DB">
      <w:pPr>
        <w:spacing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2268"/>
        <w:gridCol w:w="1559"/>
        <w:gridCol w:w="1667"/>
      </w:tblGrid>
      <w:tr w:rsidR="00423900" w:rsidTr="00CC1D31">
        <w:tc>
          <w:tcPr>
            <w:tcW w:w="3434" w:type="dxa"/>
            <w:vMerge w:val="restart"/>
          </w:tcPr>
          <w:p w:rsidR="00423900" w:rsidRPr="00B31165" w:rsidRDefault="00423900" w:rsidP="004C3776">
            <w:pPr>
              <w:jc w:val="both"/>
              <w:rPr>
                <w:b/>
                <w:sz w:val="24"/>
                <w:szCs w:val="24"/>
              </w:rPr>
            </w:pPr>
          </w:p>
          <w:p w:rsidR="00423900" w:rsidRPr="00123023" w:rsidRDefault="00423900" w:rsidP="00123023">
            <w:pPr>
              <w:jc w:val="center"/>
              <w:rPr>
                <w:sz w:val="20"/>
                <w:szCs w:val="20"/>
              </w:rPr>
            </w:pPr>
            <w:r w:rsidRPr="00B31165">
              <w:rPr>
                <w:b/>
                <w:sz w:val="24"/>
                <w:szCs w:val="24"/>
              </w:rPr>
              <w:t>RASHODI</w:t>
            </w:r>
          </w:p>
        </w:tc>
        <w:tc>
          <w:tcPr>
            <w:tcW w:w="5494" w:type="dxa"/>
            <w:gridSpan w:val="3"/>
          </w:tcPr>
          <w:p w:rsidR="00423900" w:rsidRPr="00123023" w:rsidRDefault="00423900" w:rsidP="0012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R O J E K C I J A</w:t>
            </w:r>
          </w:p>
        </w:tc>
      </w:tr>
      <w:tr w:rsidR="00423900" w:rsidTr="00CC1D31">
        <w:tc>
          <w:tcPr>
            <w:tcW w:w="3434" w:type="dxa"/>
            <w:vMerge/>
          </w:tcPr>
          <w:p w:rsidR="00423900" w:rsidRDefault="00423900" w:rsidP="004C37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3900" w:rsidRDefault="00423900" w:rsidP="0012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  <w:p w:rsidR="00423900" w:rsidRPr="00123023" w:rsidRDefault="00423900" w:rsidP="00C07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077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./201</w:t>
            </w:r>
            <w:r w:rsidR="00C0778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23900" w:rsidRDefault="00423900" w:rsidP="00123023">
            <w:pPr>
              <w:jc w:val="center"/>
              <w:rPr>
                <w:sz w:val="20"/>
                <w:szCs w:val="20"/>
              </w:rPr>
            </w:pPr>
            <w:r w:rsidRPr="00123023">
              <w:rPr>
                <w:sz w:val="20"/>
                <w:szCs w:val="20"/>
              </w:rPr>
              <w:t>Indeks</w:t>
            </w:r>
          </w:p>
          <w:p w:rsidR="00423900" w:rsidRPr="00123023" w:rsidRDefault="00423900" w:rsidP="00C07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077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./201</w:t>
            </w:r>
            <w:r w:rsidR="00C077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:rsidR="00423900" w:rsidRDefault="00423900" w:rsidP="0012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  <w:p w:rsidR="00423900" w:rsidRPr="00123023" w:rsidRDefault="00423900" w:rsidP="00C07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0778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./201</w:t>
            </w:r>
            <w:r w:rsidR="00C077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</w:tr>
      <w:tr w:rsidR="00423900" w:rsidTr="00E33F53">
        <w:tc>
          <w:tcPr>
            <w:tcW w:w="3434" w:type="dxa"/>
          </w:tcPr>
          <w:p w:rsidR="00423900" w:rsidRDefault="00423900" w:rsidP="0042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Rashodi za zaposlene</w:t>
            </w:r>
          </w:p>
        </w:tc>
        <w:tc>
          <w:tcPr>
            <w:tcW w:w="2268" w:type="dxa"/>
          </w:tcPr>
          <w:p w:rsidR="00423900" w:rsidRDefault="00991E18" w:rsidP="00B3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423900" w:rsidRDefault="00991E18" w:rsidP="00B3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67" w:type="dxa"/>
          </w:tcPr>
          <w:p w:rsidR="00423900" w:rsidRDefault="00991E18" w:rsidP="00B3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23900" w:rsidTr="00552C63">
        <w:tc>
          <w:tcPr>
            <w:tcW w:w="3434" w:type="dxa"/>
          </w:tcPr>
          <w:p w:rsidR="00423900" w:rsidRDefault="00423900" w:rsidP="0042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Materijalni rashodi</w:t>
            </w:r>
          </w:p>
        </w:tc>
        <w:tc>
          <w:tcPr>
            <w:tcW w:w="2268" w:type="dxa"/>
          </w:tcPr>
          <w:p w:rsidR="00423900" w:rsidRDefault="00991E18" w:rsidP="00B3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423900" w:rsidRDefault="00991E18" w:rsidP="00B3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67" w:type="dxa"/>
          </w:tcPr>
          <w:p w:rsidR="00423900" w:rsidRDefault="00991E18" w:rsidP="00B3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23900" w:rsidTr="007F154E">
        <w:tc>
          <w:tcPr>
            <w:tcW w:w="3434" w:type="dxa"/>
          </w:tcPr>
          <w:p w:rsidR="00423900" w:rsidRDefault="00423900" w:rsidP="0042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Rashodi za nabavu</w:t>
            </w:r>
            <w:r w:rsidR="00991E18">
              <w:rPr>
                <w:sz w:val="24"/>
                <w:szCs w:val="24"/>
              </w:rPr>
              <w:t xml:space="preserve"> nefinancijske dugotrajne </w:t>
            </w:r>
            <w:r>
              <w:rPr>
                <w:sz w:val="24"/>
                <w:szCs w:val="24"/>
              </w:rPr>
              <w:t xml:space="preserve"> imovine</w:t>
            </w:r>
          </w:p>
        </w:tc>
        <w:tc>
          <w:tcPr>
            <w:tcW w:w="2268" w:type="dxa"/>
          </w:tcPr>
          <w:p w:rsidR="00423900" w:rsidRDefault="00991E18" w:rsidP="00B3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423900" w:rsidRDefault="00991E18" w:rsidP="00B3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67" w:type="dxa"/>
          </w:tcPr>
          <w:p w:rsidR="00423900" w:rsidRDefault="00991E18" w:rsidP="00B3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4C3776" w:rsidRDefault="004C3776" w:rsidP="004C3776">
      <w:pPr>
        <w:spacing w:line="240" w:lineRule="auto"/>
        <w:ind w:left="360"/>
        <w:jc w:val="both"/>
        <w:rPr>
          <w:sz w:val="24"/>
          <w:szCs w:val="24"/>
        </w:rPr>
      </w:pPr>
    </w:p>
    <w:p w:rsidR="00123023" w:rsidRDefault="00123023" w:rsidP="004C3776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 IZ DRŽAVNOG PRORAČUNA  planirani </w:t>
      </w:r>
      <w:r w:rsidR="00423900">
        <w:rPr>
          <w:sz w:val="24"/>
          <w:szCs w:val="24"/>
        </w:rPr>
        <w:t xml:space="preserve">su </w:t>
      </w:r>
      <w:r>
        <w:rPr>
          <w:sz w:val="24"/>
          <w:szCs w:val="24"/>
        </w:rPr>
        <w:t>u skladu s propisanim inde</w:t>
      </w:r>
      <w:r w:rsidR="00991E18">
        <w:rPr>
          <w:sz w:val="24"/>
          <w:szCs w:val="24"/>
        </w:rPr>
        <w:t xml:space="preserve">ksom rasta za tu vrstu rashoda. </w:t>
      </w:r>
      <w:r w:rsidR="00423900">
        <w:rPr>
          <w:sz w:val="24"/>
          <w:szCs w:val="24"/>
        </w:rPr>
        <w:t>Uračunati su  dodaci koje zaposlenici ostvaruju temeljem Planskih tablica (prekovremeni rad, posebni uvjeti rada).</w:t>
      </w:r>
      <w:r w:rsidR="0048273B">
        <w:rPr>
          <w:sz w:val="24"/>
          <w:szCs w:val="24"/>
        </w:rPr>
        <w:t xml:space="preserve">  </w:t>
      </w:r>
      <w:r w:rsidR="00423900">
        <w:rPr>
          <w:sz w:val="24"/>
          <w:szCs w:val="24"/>
        </w:rPr>
        <w:t>T</w:t>
      </w:r>
      <w:r w:rsidR="0048273B">
        <w:rPr>
          <w:sz w:val="24"/>
          <w:szCs w:val="24"/>
        </w:rPr>
        <w:t>akođer</w:t>
      </w:r>
      <w:r w:rsidR="00423900">
        <w:rPr>
          <w:sz w:val="24"/>
          <w:szCs w:val="24"/>
        </w:rPr>
        <w:t xml:space="preserve"> su</w:t>
      </w:r>
      <w:r w:rsidR="0048273B">
        <w:rPr>
          <w:sz w:val="24"/>
          <w:szCs w:val="24"/>
        </w:rPr>
        <w:t xml:space="preserve"> uračunati i troškovi za isplatu jubilarnih nagrada</w:t>
      </w:r>
      <w:r w:rsidR="00423900">
        <w:rPr>
          <w:sz w:val="24"/>
          <w:szCs w:val="24"/>
        </w:rPr>
        <w:t xml:space="preserve"> (prema za</w:t>
      </w:r>
      <w:r w:rsidR="002E2099">
        <w:rPr>
          <w:sz w:val="24"/>
          <w:szCs w:val="24"/>
        </w:rPr>
        <w:t xml:space="preserve">danim </w:t>
      </w:r>
      <w:r w:rsidR="00423900">
        <w:rPr>
          <w:sz w:val="24"/>
          <w:szCs w:val="24"/>
        </w:rPr>
        <w:t>parametrima)</w:t>
      </w:r>
      <w:r w:rsidR="0048273B">
        <w:rPr>
          <w:sz w:val="24"/>
          <w:szCs w:val="24"/>
        </w:rPr>
        <w:t>, koji se ovisno od godine do godine kreću prema broju zaposlenih koji u rečenoj godini os</w:t>
      </w:r>
      <w:r w:rsidR="00C0778B">
        <w:rPr>
          <w:sz w:val="24"/>
          <w:szCs w:val="24"/>
        </w:rPr>
        <w:t>tvaruju pravo na isplatu istih</w:t>
      </w:r>
      <w:r w:rsidR="0048273B">
        <w:rPr>
          <w:sz w:val="24"/>
          <w:szCs w:val="24"/>
        </w:rPr>
        <w:t>.</w:t>
      </w:r>
      <w:r w:rsidR="00472B02">
        <w:rPr>
          <w:sz w:val="24"/>
          <w:szCs w:val="24"/>
        </w:rPr>
        <w:t xml:space="preserve"> Troškovi prijevoza također osciliraju zbog česte promjene u strukturi zaposlenika-putnika</w:t>
      </w:r>
      <w:r w:rsidR="00423900">
        <w:rPr>
          <w:sz w:val="24"/>
          <w:szCs w:val="24"/>
        </w:rPr>
        <w:t>.</w:t>
      </w:r>
      <w:r w:rsidR="00472B02">
        <w:rPr>
          <w:sz w:val="24"/>
          <w:szCs w:val="24"/>
        </w:rPr>
        <w:t xml:space="preserve">  </w:t>
      </w:r>
      <w:r w:rsidR="00C0778B">
        <w:rPr>
          <w:sz w:val="24"/>
          <w:szCs w:val="24"/>
        </w:rPr>
        <w:t>Sustav obračuna i praćenja izdataka za zaposlene odvija se preko COP-a.</w:t>
      </w:r>
    </w:p>
    <w:p w:rsidR="00B04BB9" w:rsidRDefault="00472B02" w:rsidP="004755C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PRIHODI OD ŽUPANIJE za financiranje rashoda po minimalnim standardima, planira</w:t>
      </w:r>
      <w:r w:rsidR="00991E18">
        <w:rPr>
          <w:sz w:val="24"/>
          <w:szCs w:val="24"/>
        </w:rPr>
        <w:t>n</w:t>
      </w:r>
      <w:r>
        <w:rPr>
          <w:sz w:val="24"/>
          <w:szCs w:val="24"/>
        </w:rPr>
        <w:t>i s</w:t>
      </w:r>
      <w:r w:rsidR="00A25F44">
        <w:rPr>
          <w:sz w:val="24"/>
          <w:szCs w:val="24"/>
        </w:rPr>
        <w:t>u</w:t>
      </w:r>
      <w:r>
        <w:rPr>
          <w:sz w:val="24"/>
          <w:szCs w:val="24"/>
        </w:rPr>
        <w:t xml:space="preserve"> primjenom financisjkih pokazatelja iz Uputa za izradu proračuna</w:t>
      </w:r>
      <w:r w:rsidR="00991E18">
        <w:rPr>
          <w:sz w:val="24"/>
          <w:szCs w:val="24"/>
        </w:rPr>
        <w:t>. P</w:t>
      </w:r>
      <w:r>
        <w:rPr>
          <w:sz w:val="24"/>
          <w:szCs w:val="24"/>
        </w:rPr>
        <w:t>rimjenili</w:t>
      </w:r>
      <w:r w:rsidR="00991E18">
        <w:rPr>
          <w:sz w:val="24"/>
          <w:szCs w:val="24"/>
        </w:rPr>
        <w:t xml:space="preserve"> smo</w:t>
      </w:r>
      <w:r>
        <w:rPr>
          <w:sz w:val="24"/>
          <w:szCs w:val="24"/>
        </w:rPr>
        <w:t xml:space="preserve"> zadane indekse.</w:t>
      </w:r>
      <w:r w:rsidR="004755CE">
        <w:rPr>
          <w:sz w:val="24"/>
          <w:szCs w:val="24"/>
        </w:rPr>
        <w:t xml:space="preserve"> </w:t>
      </w:r>
      <w:r>
        <w:rPr>
          <w:sz w:val="24"/>
          <w:szCs w:val="24"/>
        </w:rPr>
        <w:t>Od tako dobivenih vrijednosti prihoda prvo smo predvidjeli namjenske rashode</w:t>
      </w:r>
      <w:r w:rsidR="00D20771">
        <w:rPr>
          <w:sz w:val="24"/>
          <w:szCs w:val="24"/>
        </w:rPr>
        <w:t xml:space="preserve"> u skupini Opći troškovi</w:t>
      </w:r>
      <w:r>
        <w:rPr>
          <w:sz w:val="24"/>
          <w:szCs w:val="24"/>
        </w:rPr>
        <w:t xml:space="preserve"> koji se planiraju na osnovi potrošnje tekuće godine. </w:t>
      </w:r>
      <w:r w:rsidR="00D20771">
        <w:rPr>
          <w:sz w:val="24"/>
          <w:szCs w:val="24"/>
        </w:rPr>
        <w:t>T</w:t>
      </w:r>
      <w:r>
        <w:rPr>
          <w:sz w:val="24"/>
          <w:szCs w:val="24"/>
        </w:rPr>
        <w:t>roškove energije, rashod za zdravstveni pregled zaposlenika, prijevoz učenika – ugovoreni, usluge tekućeg i investicijskog održavanja objekata, postrojenja i opreme te komunalne naknade i pedagošku dokument</w:t>
      </w:r>
      <w:r w:rsidR="00D20771">
        <w:rPr>
          <w:sz w:val="24"/>
          <w:szCs w:val="24"/>
        </w:rPr>
        <w:t>a</w:t>
      </w:r>
      <w:r>
        <w:rPr>
          <w:sz w:val="24"/>
          <w:szCs w:val="24"/>
        </w:rPr>
        <w:t>ciju</w:t>
      </w:r>
      <w:r w:rsidR="00D20771">
        <w:rPr>
          <w:sz w:val="24"/>
          <w:szCs w:val="24"/>
        </w:rPr>
        <w:t xml:space="preserve">, planirali smo na razini ukupnih Stvarnih troškova. </w:t>
      </w:r>
      <w:r w:rsidR="00B04BB9">
        <w:rPr>
          <w:sz w:val="24"/>
          <w:szCs w:val="24"/>
        </w:rPr>
        <w:t xml:space="preserve"> N</w:t>
      </w:r>
      <w:r w:rsidR="002E2099">
        <w:rPr>
          <w:sz w:val="24"/>
          <w:szCs w:val="24"/>
        </w:rPr>
        <w:t>a</w:t>
      </w:r>
      <w:r w:rsidR="00B04BB9">
        <w:rPr>
          <w:sz w:val="24"/>
          <w:szCs w:val="24"/>
        </w:rPr>
        <w:t>stojali smo biti što ekonomičniji u planiranju općih troškova gledajući prioritete funkcioniranja Škole, a da se ne remete ostvarivanja zadanih ciljeva planom i programom rada.</w:t>
      </w:r>
    </w:p>
    <w:p w:rsidR="00B04BB9" w:rsidRDefault="002E2099" w:rsidP="004C3776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Skromne v</w:t>
      </w:r>
      <w:r w:rsidR="00B04BB9">
        <w:rPr>
          <w:sz w:val="24"/>
          <w:szCs w:val="24"/>
        </w:rPr>
        <w:t>lastite prihode od ostvarivanja iznajmljivanja sportske dvorane i prostora te pro</w:t>
      </w:r>
      <w:r w:rsidR="00DB0F02">
        <w:rPr>
          <w:sz w:val="24"/>
          <w:szCs w:val="24"/>
        </w:rPr>
        <w:t>daje starog papira koristiti će</w:t>
      </w:r>
      <w:r w:rsidR="00B04BB9">
        <w:rPr>
          <w:sz w:val="24"/>
          <w:szCs w:val="24"/>
        </w:rPr>
        <w:t xml:space="preserve">mo prvenstveno za </w:t>
      </w:r>
      <w:r>
        <w:rPr>
          <w:sz w:val="24"/>
          <w:szCs w:val="24"/>
        </w:rPr>
        <w:t xml:space="preserve">održavanje </w:t>
      </w:r>
      <w:r w:rsidR="00B04BB9">
        <w:rPr>
          <w:sz w:val="24"/>
          <w:szCs w:val="24"/>
        </w:rPr>
        <w:t xml:space="preserve"> prostora</w:t>
      </w:r>
      <w:r>
        <w:rPr>
          <w:sz w:val="24"/>
          <w:szCs w:val="24"/>
        </w:rPr>
        <w:t>.</w:t>
      </w:r>
    </w:p>
    <w:p w:rsidR="00506D1E" w:rsidRDefault="00B04BB9" w:rsidP="0008318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Namjenski prihodi od sufinanciranja obuhvaćaju prihode za sufinanciranje cijene školske kuhinje, osiguranje učenika, izleta, ekskurzija, posjeta kazališnih i kino predstava</w:t>
      </w:r>
      <w:r w:rsidR="002E2099">
        <w:rPr>
          <w:sz w:val="24"/>
          <w:szCs w:val="24"/>
        </w:rPr>
        <w:t xml:space="preserve"> – koje participiraju roditelji. </w:t>
      </w:r>
    </w:p>
    <w:p w:rsidR="00B04BB9" w:rsidRDefault="00B04BB9" w:rsidP="00B04BB9">
      <w:pPr>
        <w:pStyle w:val="Odlomakpopis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Izvještaji o postignutim ciljevima i rezultatima programa temeljenim na pokazateljima uspješnosti iz nadležnosti proračunskog korisnika u prethodnoj godini</w:t>
      </w:r>
    </w:p>
    <w:p w:rsidR="00022AFA" w:rsidRDefault="00022AFA" w:rsidP="00022AFA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Zaključujemo da je ostvareno redovno odvijanje nastavnog procesa:</w:t>
      </w:r>
    </w:p>
    <w:p w:rsidR="00231FC4" w:rsidRDefault="00DB0F02" w:rsidP="00231FC4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0771">
        <w:rPr>
          <w:sz w:val="24"/>
          <w:szCs w:val="24"/>
        </w:rPr>
        <w:t>29</w:t>
      </w:r>
      <w:r w:rsidR="00231FC4">
        <w:rPr>
          <w:sz w:val="24"/>
          <w:szCs w:val="24"/>
        </w:rPr>
        <w:t xml:space="preserve"> učenika uspješno je završilo nastavnu godinu 201</w:t>
      </w:r>
      <w:r w:rsidR="00D20771">
        <w:rPr>
          <w:sz w:val="24"/>
          <w:szCs w:val="24"/>
        </w:rPr>
        <w:t>4</w:t>
      </w:r>
      <w:r w:rsidR="00231FC4">
        <w:rPr>
          <w:sz w:val="24"/>
          <w:szCs w:val="24"/>
        </w:rPr>
        <w:t>./201</w:t>
      </w:r>
      <w:r w:rsidR="00D20771">
        <w:rPr>
          <w:sz w:val="24"/>
          <w:szCs w:val="24"/>
        </w:rPr>
        <w:t>5</w:t>
      </w:r>
      <w:r w:rsidR="00231FC4">
        <w:rPr>
          <w:sz w:val="24"/>
          <w:szCs w:val="24"/>
        </w:rPr>
        <w:t xml:space="preserve">., ponavljača </w:t>
      </w:r>
      <w:r w:rsidR="00D20771">
        <w:rPr>
          <w:sz w:val="24"/>
          <w:szCs w:val="24"/>
        </w:rPr>
        <w:t>nema</w:t>
      </w:r>
      <w:r w:rsidR="00231FC4">
        <w:rPr>
          <w:sz w:val="24"/>
          <w:szCs w:val="24"/>
        </w:rPr>
        <w:t>,</w:t>
      </w:r>
    </w:p>
    <w:p w:rsidR="00231FC4" w:rsidRDefault="00231FC4" w:rsidP="00231FC4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učenici su sudjelovali na županijskim natjecanjima iz matematike, </w:t>
      </w:r>
      <w:r w:rsidR="006C3517">
        <w:rPr>
          <w:sz w:val="24"/>
          <w:szCs w:val="24"/>
        </w:rPr>
        <w:t>geografije, LiDraNa</w:t>
      </w:r>
      <w:r w:rsidR="00193259">
        <w:rPr>
          <w:sz w:val="24"/>
          <w:szCs w:val="24"/>
        </w:rPr>
        <w:t>,</w:t>
      </w:r>
      <w:r w:rsidR="006C3517">
        <w:rPr>
          <w:sz w:val="24"/>
          <w:szCs w:val="24"/>
        </w:rPr>
        <w:t xml:space="preserve"> </w:t>
      </w:r>
      <w:r w:rsidR="00193259">
        <w:rPr>
          <w:sz w:val="24"/>
          <w:szCs w:val="24"/>
        </w:rPr>
        <w:t xml:space="preserve"> biologije i kemije</w:t>
      </w:r>
      <w:r w:rsidR="00D20771">
        <w:rPr>
          <w:sz w:val="24"/>
          <w:szCs w:val="24"/>
        </w:rPr>
        <w:t>,</w:t>
      </w:r>
      <w:r w:rsidR="006C3517">
        <w:rPr>
          <w:sz w:val="24"/>
          <w:szCs w:val="24"/>
        </w:rPr>
        <w:t xml:space="preserve"> prometa</w:t>
      </w:r>
      <w:r>
        <w:rPr>
          <w:sz w:val="24"/>
          <w:szCs w:val="24"/>
        </w:rPr>
        <w:t>,</w:t>
      </w:r>
      <w:r w:rsidR="00D20771">
        <w:rPr>
          <w:sz w:val="24"/>
          <w:szCs w:val="24"/>
        </w:rPr>
        <w:t xml:space="preserve"> </w:t>
      </w:r>
      <w:r w:rsidR="009E5A8B">
        <w:rPr>
          <w:sz w:val="24"/>
          <w:szCs w:val="24"/>
        </w:rPr>
        <w:t>informatike,</w:t>
      </w:r>
    </w:p>
    <w:p w:rsidR="00231FC4" w:rsidRDefault="00231FC4" w:rsidP="00231FC4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zaposlenici su se stručno usavršavali na seminarima, stručnim aktivim</w:t>
      </w:r>
      <w:r w:rsidR="00804C2A">
        <w:rPr>
          <w:sz w:val="24"/>
          <w:szCs w:val="24"/>
        </w:rPr>
        <w:t>a i drugim oblicima nadogradnje</w:t>
      </w:r>
      <w:r>
        <w:rPr>
          <w:sz w:val="24"/>
          <w:szCs w:val="24"/>
        </w:rPr>
        <w:t>,</w:t>
      </w:r>
    </w:p>
    <w:p w:rsidR="00193259" w:rsidRPr="0008318E" w:rsidRDefault="00231FC4" w:rsidP="0008318E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usluge tekućeg i investicijskog održavanja </w:t>
      </w:r>
      <w:r w:rsidR="00DB0F02">
        <w:rPr>
          <w:sz w:val="24"/>
          <w:szCs w:val="24"/>
        </w:rPr>
        <w:t>troši se sukladno mogućnostima</w:t>
      </w:r>
      <w:r w:rsidR="00804C2A">
        <w:rPr>
          <w:sz w:val="24"/>
          <w:szCs w:val="24"/>
        </w:rPr>
        <w:t>,</w:t>
      </w:r>
    </w:p>
    <w:p w:rsidR="004755CE" w:rsidRDefault="004755CE" w:rsidP="004755C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Ravnateljica Škole:</w:t>
      </w:r>
    </w:p>
    <w:p w:rsidR="00F0210D" w:rsidRPr="00F10812" w:rsidRDefault="004755CE" w:rsidP="00F10812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Blaženka Krgović, prof.</w:t>
      </w:r>
    </w:p>
    <w:sectPr w:rsidR="00F0210D" w:rsidRPr="00F10812" w:rsidSect="00BF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6029A"/>
    <w:multiLevelType w:val="hybridMultilevel"/>
    <w:tmpl w:val="4636D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5214C"/>
    <w:multiLevelType w:val="hybridMultilevel"/>
    <w:tmpl w:val="38BC1106"/>
    <w:lvl w:ilvl="0" w:tplc="9EC223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0D"/>
    <w:rsid w:val="00022AFA"/>
    <w:rsid w:val="0008318E"/>
    <w:rsid w:val="00121208"/>
    <w:rsid w:val="00123023"/>
    <w:rsid w:val="00193259"/>
    <w:rsid w:val="001C0FB0"/>
    <w:rsid w:val="001C7CD1"/>
    <w:rsid w:val="001D3160"/>
    <w:rsid w:val="002103DB"/>
    <w:rsid w:val="00231FC4"/>
    <w:rsid w:val="002E2099"/>
    <w:rsid w:val="002E7EAC"/>
    <w:rsid w:val="00423900"/>
    <w:rsid w:val="00455958"/>
    <w:rsid w:val="00472B02"/>
    <w:rsid w:val="004755CE"/>
    <w:rsid w:val="0048273B"/>
    <w:rsid w:val="004C3776"/>
    <w:rsid w:val="004D7EA7"/>
    <w:rsid w:val="00506D1E"/>
    <w:rsid w:val="005A4FC1"/>
    <w:rsid w:val="006455A8"/>
    <w:rsid w:val="006C3517"/>
    <w:rsid w:val="00804C2A"/>
    <w:rsid w:val="00873E28"/>
    <w:rsid w:val="008B1D9C"/>
    <w:rsid w:val="00937780"/>
    <w:rsid w:val="00970EDA"/>
    <w:rsid w:val="00991E18"/>
    <w:rsid w:val="009E5A8B"/>
    <w:rsid w:val="00A25F44"/>
    <w:rsid w:val="00A539E8"/>
    <w:rsid w:val="00A67AF6"/>
    <w:rsid w:val="00AD51D7"/>
    <w:rsid w:val="00AE4CF5"/>
    <w:rsid w:val="00B04BB9"/>
    <w:rsid w:val="00B31165"/>
    <w:rsid w:val="00B47155"/>
    <w:rsid w:val="00BD0E43"/>
    <w:rsid w:val="00BF45C1"/>
    <w:rsid w:val="00C0778B"/>
    <w:rsid w:val="00CC4957"/>
    <w:rsid w:val="00CD1E1A"/>
    <w:rsid w:val="00CF4201"/>
    <w:rsid w:val="00D20771"/>
    <w:rsid w:val="00D50A99"/>
    <w:rsid w:val="00DA5379"/>
    <w:rsid w:val="00DB0F02"/>
    <w:rsid w:val="00F0210D"/>
    <w:rsid w:val="00F10812"/>
    <w:rsid w:val="00F57173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EA790-B0C4-4D25-A291-92C57538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210D"/>
    <w:pPr>
      <w:ind w:left="720"/>
      <w:contextualSpacing/>
    </w:pPr>
  </w:style>
  <w:style w:type="table" w:styleId="Reetkatablice">
    <w:name w:val="Table Grid"/>
    <w:basedOn w:val="Obinatablica"/>
    <w:uiPriority w:val="59"/>
    <w:rsid w:val="004C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431E5-2809-4558-B688-93394315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2</cp:revision>
  <cp:lastPrinted>2014-10-28T09:29:00Z</cp:lastPrinted>
  <dcterms:created xsi:type="dcterms:W3CDTF">2016-03-15T07:48:00Z</dcterms:created>
  <dcterms:modified xsi:type="dcterms:W3CDTF">2016-03-15T07:48:00Z</dcterms:modified>
</cp:coreProperties>
</file>